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Gislaved kommunfullmäktige</w:t>
      </w:r>
    </w:p>
    <w:p>
      <w:pPr>
        <w:pStyle w:val="Heading1"/>
      </w:pPr>
      <w:r>
        <w:t xml:space="preserve">Ökat stöd till elever i utsatta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Gislaved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Skolor i Gislaved har ojämna resultat. Anderstorp och centrala Gislaved har lägre meritvärden. Extra stöd behövs för att alla elever ska nå kunskapsmålen (Skolverket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Gislaved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extra lärarresurser tilldelas skolor med lägst resultat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ett särskilt läs- och skrivutvecklingsprogram införs i årskurs 1–3.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elevhälsa och socialtjänst 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resultatutvecklingen följs upp årligen i barn- och utbildningsnämnden.</w:t>
      </w:r>
    </w:p>
    <w:p>
      <w:pPr>
        <w:spacing w:before="360"/>
      </w:pPr>
    </w:p>
    <w:p>
      <w:r>
        <w:t xml:space="preserve">Gislaved,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Gislaved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2026-07-13T23:58:41.573Z</dcterms:created>
  <dcterms:modified xsi:type="dcterms:W3CDTF">2026-07-13T23:58:41.573Z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